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0" w:firstLineChars="0"/>
        <w:jc w:val="center"/>
      </w:pPr>
      <w:r>
        <w:rPr>
          <w:rFonts w:ascii="黑体" w:hAnsi="宋体" w:eastAsia="黑体" w:cs="黑体"/>
          <w:color w:val="000000"/>
          <w:kern w:val="0"/>
          <w:sz w:val="43"/>
          <w:szCs w:val="43"/>
        </w:rPr>
        <w:t>关于组织开展 202</w:t>
      </w:r>
      <w:r>
        <w:rPr>
          <w:rFonts w:hint="eastAsia" w:ascii="黑体" w:hAnsi="宋体" w:eastAsia="黑体" w:cs="黑体"/>
          <w:color w:val="000000"/>
          <w:kern w:val="0"/>
          <w:sz w:val="43"/>
          <w:szCs w:val="43"/>
        </w:rPr>
        <w:t>1</w:t>
      </w:r>
      <w:r>
        <w:rPr>
          <w:rFonts w:ascii="黑体" w:hAnsi="宋体" w:eastAsia="黑体" w:cs="黑体"/>
          <w:color w:val="000000"/>
          <w:kern w:val="0"/>
          <w:sz w:val="43"/>
          <w:szCs w:val="43"/>
        </w:rPr>
        <w:t xml:space="preserve"> 年</w:t>
      </w:r>
    </w:p>
    <w:p>
      <w:pPr>
        <w:widowControl/>
        <w:ind w:firstLine="0" w:firstLineChars="0"/>
        <w:jc w:val="center"/>
      </w:pPr>
      <w:r>
        <w:rPr>
          <w:rFonts w:hint="eastAsia" w:ascii="黑体" w:hAnsi="宋体" w:eastAsia="黑体" w:cs="黑体"/>
          <w:color w:val="000000"/>
          <w:kern w:val="0"/>
          <w:sz w:val="43"/>
          <w:szCs w:val="43"/>
        </w:rPr>
        <w:t>校教学研究课题立项工作的通知</w:t>
      </w:r>
    </w:p>
    <w:p>
      <w:pPr>
        <w:widowControl/>
        <w:ind w:firstLine="0" w:firstLineChars="0"/>
        <w:jc w:val="left"/>
      </w:pPr>
      <w:r>
        <w:rPr>
          <w:rFonts w:ascii="仿宋_GB2312" w:hAnsi="宋体" w:cs="仿宋_GB2312"/>
          <w:b/>
          <w:color w:val="000000"/>
          <w:kern w:val="0"/>
          <w:sz w:val="31"/>
          <w:szCs w:val="31"/>
        </w:rPr>
        <w:t>各单位：</w:t>
      </w:r>
    </w:p>
    <w:p>
      <w:pPr>
        <w:widowControl/>
        <w:ind w:firstLine="620"/>
        <w:jc w:val="left"/>
      </w:pP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为鼓励广大教师积极参与教学研究，促进教育教学水平不断提高，学校将于近期组织开展 2021 年校教学研究课题立项工作。</w:t>
      </w:r>
    </w:p>
    <w:p>
      <w:pPr>
        <w:widowControl/>
        <w:ind w:firstLine="620"/>
        <w:jc w:val="left"/>
      </w:pP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现就有关事宜通知如下：</w:t>
      </w:r>
    </w:p>
    <w:p>
      <w:pPr>
        <w:widowControl/>
        <w:ind w:firstLine="720"/>
        <w:jc w:val="left"/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</w:rPr>
        <w:t>一、课题研究内容</w:t>
      </w:r>
    </w:p>
    <w:p>
      <w:pPr>
        <w:widowControl/>
        <w:ind w:firstLine="620"/>
        <w:jc w:val="left"/>
        <w:rPr>
          <w:rFonts w:ascii="仿宋_GB2312" w:hAnsi="宋体" w:cs="仿宋_GB2312"/>
          <w:color w:val="000000"/>
          <w:kern w:val="0"/>
          <w:sz w:val="31"/>
          <w:szCs w:val="31"/>
        </w:rPr>
      </w:pP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申报的课题要围绕学校“十四五”发展规划的重点工作，突出“应用型”“高质量”“新农科”“金专”“金课”“以北大荒精神为核心的课程思政”等内容，针对学校教育教学改革发展中存在的重点、难点、热点问题开展研究，提出可行的对策建议，形成标志性的研究成果，促进我校教育教学质量的提升。</w:t>
      </w:r>
    </w:p>
    <w:p>
      <w:pPr>
        <w:widowControl/>
        <w:ind w:firstLine="720"/>
        <w:jc w:val="left"/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</w:rPr>
        <w:t xml:space="preserve">二、课题申报要求 </w:t>
      </w:r>
    </w:p>
    <w:p>
      <w:pPr>
        <w:widowControl/>
        <w:ind w:firstLine="620"/>
        <w:jc w:val="left"/>
        <w:rPr>
          <w:rFonts w:ascii="仿宋_GB2312" w:hAnsi="宋体" w:cs="仿宋_GB2312"/>
          <w:color w:val="000000"/>
          <w:kern w:val="0"/>
          <w:sz w:val="31"/>
          <w:szCs w:val="31"/>
        </w:rPr>
      </w:pP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（一）课题主持人应为我校中级及以上职称，具有一定教学研究能力的教师、教学管理人员及教辅人员。课题组全体成员不超过 5 人。</w:t>
      </w:r>
    </w:p>
    <w:p>
      <w:pPr>
        <w:widowControl/>
        <w:ind w:firstLine="620"/>
        <w:jc w:val="left"/>
      </w:pP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（二）课题主持人只能申报一个研究课题，课题组成员最多同时参加两个课题的研究。</w:t>
      </w:r>
    </w:p>
    <w:p>
      <w:pPr>
        <w:widowControl/>
        <w:ind w:left="634" w:leftChars="198" w:firstLine="0" w:firstLineChars="0"/>
        <w:jc w:val="left"/>
      </w:pP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（三）在研的校教学研究课题主持人不允许参加本次课题申报。（四）课题研究周期一般为 1～2 年，最长不超过 3 年。</w:t>
      </w:r>
    </w:p>
    <w:p>
      <w:pPr>
        <w:widowControl/>
        <w:ind w:firstLine="620"/>
        <w:jc w:val="left"/>
      </w:pP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（五）为能够更好的完成课题研究，课题主持人身份须与课题研究内容相符。</w:t>
      </w:r>
    </w:p>
    <w:p>
      <w:pPr>
        <w:widowControl/>
        <w:ind w:firstLine="720"/>
        <w:jc w:val="left"/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</w:rPr>
        <w:t xml:space="preserve">三、申报数量分配 </w:t>
      </w:r>
    </w:p>
    <w:p>
      <w:pPr>
        <w:widowControl/>
        <w:ind w:firstLine="620"/>
        <w:jc w:val="center"/>
        <w:rPr>
          <w:rFonts w:ascii="仿宋_GB2312" w:hAnsi="宋体" w:cs="仿宋_GB2312"/>
          <w:color w:val="000000"/>
          <w:kern w:val="0"/>
          <w:sz w:val="31"/>
          <w:szCs w:val="31"/>
        </w:rPr>
      </w:pP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课题申报限额共 36 项，各单位具体申报限额详见表 1 所示。</w:t>
      </w:r>
    </w:p>
    <w:p>
      <w:pPr>
        <w:widowControl/>
        <w:ind w:firstLine="0" w:firstLineChars="0"/>
        <w:jc w:val="center"/>
        <w:rPr>
          <w:rFonts w:ascii="宋体" w:hAnsi="宋体" w:eastAsia="宋体" w:cs="宋体"/>
          <w:b/>
          <w:color w:val="000000"/>
          <w:kern w:val="0"/>
          <w:sz w:val="31"/>
          <w:szCs w:val="31"/>
        </w:rPr>
      </w:pPr>
    </w:p>
    <w:p>
      <w:pPr>
        <w:widowControl/>
        <w:ind w:firstLine="0" w:firstLineChars="0"/>
        <w:jc w:val="center"/>
        <w:rPr>
          <w:rFonts w:ascii="宋体" w:hAnsi="宋体" w:eastAsia="宋体" w:cs="宋体"/>
          <w:b/>
          <w:color w:val="000000"/>
          <w:kern w:val="0"/>
          <w:sz w:val="31"/>
          <w:szCs w:val="31"/>
        </w:rPr>
      </w:pPr>
    </w:p>
    <w:p>
      <w:pPr>
        <w:widowControl/>
        <w:ind w:firstLine="0" w:firstLineChars="0"/>
        <w:jc w:val="center"/>
      </w:pPr>
      <w:r>
        <w:rPr>
          <w:rFonts w:hint="eastAsia" w:ascii="宋体" w:hAnsi="宋体" w:eastAsia="宋体" w:cs="宋体"/>
          <w:b/>
          <w:color w:val="000000"/>
          <w:kern w:val="0"/>
          <w:sz w:val="31"/>
          <w:szCs w:val="31"/>
        </w:rPr>
        <w:t>表 1</w:t>
      </w:r>
      <w:r>
        <w:rPr>
          <w:rFonts w:hint="eastAsia" w:ascii="黑体" w:hAnsi="宋体" w:eastAsia="黑体" w:cs="黑体"/>
          <w:color w:val="000000"/>
          <w:kern w:val="0"/>
          <w:sz w:val="36"/>
          <w:szCs w:val="36"/>
        </w:rPr>
        <w:t xml:space="preserve"> </w:t>
      </w:r>
      <w:r>
        <w:rPr>
          <w:rFonts w:hint="eastAsia" w:ascii="宋体" w:hAnsi="宋体" w:eastAsia="宋体" w:cs="宋体"/>
          <w:b/>
          <w:color w:val="000000"/>
          <w:kern w:val="0"/>
          <w:sz w:val="31"/>
          <w:szCs w:val="31"/>
        </w:rPr>
        <w:t>各单位课题申报限额一览表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580"/>
        <w:gridCol w:w="580"/>
        <w:gridCol w:w="580"/>
        <w:gridCol w:w="580"/>
        <w:gridCol w:w="580"/>
        <w:gridCol w:w="580"/>
        <w:gridCol w:w="580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80" w:type="dxa"/>
          </w:tcPr>
          <w:p>
            <w:pPr>
              <w:ind w:firstLine="0" w:firstLineChars="0"/>
              <w:jc w:val="center"/>
              <w:rPr>
                <w:szCs w:val="32"/>
              </w:rPr>
            </w:pPr>
          </w:p>
          <w:p>
            <w:pPr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单</w:t>
            </w:r>
          </w:p>
          <w:p>
            <w:pPr>
              <w:ind w:firstLine="0" w:firstLineChars="0"/>
              <w:jc w:val="center"/>
              <w:rPr>
                <w:szCs w:val="32"/>
              </w:rPr>
            </w:pPr>
          </w:p>
          <w:p>
            <w:pPr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位</w:t>
            </w:r>
          </w:p>
        </w:tc>
        <w:tc>
          <w:tcPr>
            <w:tcW w:w="580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农学院</w:t>
            </w:r>
          </w:p>
        </w:tc>
        <w:tc>
          <w:tcPr>
            <w:tcW w:w="580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工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程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院</w:t>
            </w:r>
          </w:p>
          <w:p>
            <w:pPr>
              <w:widowControl/>
              <w:jc w:val="center"/>
              <w:rPr>
                <w:szCs w:val="32"/>
              </w:rPr>
            </w:pPr>
          </w:p>
        </w:tc>
        <w:tc>
          <w:tcPr>
            <w:tcW w:w="580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动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科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院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</w:tc>
        <w:tc>
          <w:tcPr>
            <w:tcW w:w="580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经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管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院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</w:tc>
        <w:tc>
          <w:tcPr>
            <w:tcW w:w="580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食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品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院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</w:tc>
        <w:tc>
          <w:tcPr>
            <w:tcW w:w="580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人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文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院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</w:tc>
        <w:tc>
          <w:tcPr>
            <w:tcW w:w="580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信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息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院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</w:tc>
        <w:tc>
          <w:tcPr>
            <w:tcW w:w="581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生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命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院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</w:tc>
        <w:tc>
          <w:tcPr>
            <w:tcW w:w="581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理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学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院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</w:tc>
        <w:tc>
          <w:tcPr>
            <w:tcW w:w="581" w:type="dxa"/>
          </w:tcPr>
          <w:p>
            <w:pPr>
              <w:widowControl/>
              <w:ind w:firstLine="0" w:firstLineChars="0"/>
              <w:rPr>
                <w:szCs w:val="32"/>
              </w:rPr>
            </w:pPr>
            <w:r>
              <w:rPr>
                <w:rFonts w:hint="eastAsia"/>
                <w:szCs w:val="32"/>
              </w:rPr>
              <w:t>园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艺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园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林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院</w:t>
            </w:r>
          </w:p>
        </w:tc>
        <w:tc>
          <w:tcPr>
            <w:tcW w:w="581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土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木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水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利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院</w:t>
            </w:r>
          </w:p>
        </w:tc>
        <w:tc>
          <w:tcPr>
            <w:tcW w:w="581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马</w:t>
            </w:r>
          </w:p>
          <w:p>
            <w:pPr>
              <w:widowControl/>
              <w:ind w:firstLine="0" w:firstLineChars="0"/>
              <w:rPr>
                <w:szCs w:val="32"/>
              </w:rPr>
            </w:pPr>
          </w:p>
          <w:p>
            <w:pPr>
              <w:widowControl/>
              <w:ind w:firstLine="0" w:firstLineChars="0"/>
              <w:rPr>
                <w:szCs w:val="32"/>
              </w:rPr>
            </w:pPr>
            <w:r>
              <w:rPr>
                <w:rFonts w:hint="eastAsia"/>
                <w:szCs w:val="32"/>
              </w:rPr>
              <w:t>院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</w:tc>
        <w:tc>
          <w:tcPr>
            <w:tcW w:w="581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体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育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教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研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部</w:t>
            </w:r>
          </w:p>
        </w:tc>
        <w:tc>
          <w:tcPr>
            <w:tcW w:w="581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机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关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及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教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辅</w:t>
            </w:r>
          </w:p>
        </w:tc>
        <w:tc>
          <w:tcPr>
            <w:tcW w:w="581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合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计</w:t>
            </w: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atLeast"/>
        </w:trPr>
        <w:tc>
          <w:tcPr>
            <w:tcW w:w="580" w:type="dxa"/>
          </w:tcPr>
          <w:p>
            <w:pPr>
              <w:widowControl/>
              <w:ind w:firstLine="0" w:firstLineChars="0"/>
              <w:jc w:val="left"/>
              <w:rPr>
                <w:sz w:val="31"/>
                <w:szCs w:val="31"/>
              </w:rPr>
            </w:pPr>
            <w:r>
              <w:rPr>
                <w:rFonts w:hint="eastAsia"/>
                <w:szCs w:val="32"/>
              </w:rPr>
              <w:t>申报限额</w:t>
            </w:r>
          </w:p>
        </w:tc>
        <w:tc>
          <w:tcPr>
            <w:tcW w:w="580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3</w:t>
            </w:r>
          </w:p>
        </w:tc>
        <w:tc>
          <w:tcPr>
            <w:tcW w:w="580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3</w:t>
            </w:r>
          </w:p>
        </w:tc>
        <w:tc>
          <w:tcPr>
            <w:tcW w:w="580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3</w:t>
            </w:r>
          </w:p>
        </w:tc>
        <w:tc>
          <w:tcPr>
            <w:tcW w:w="580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3</w:t>
            </w:r>
          </w:p>
        </w:tc>
        <w:tc>
          <w:tcPr>
            <w:tcW w:w="580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3</w:t>
            </w:r>
          </w:p>
        </w:tc>
        <w:tc>
          <w:tcPr>
            <w:tcW w:w="580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3</w:t>
            </w:r>
          </w:p>
        </w:tc>
        <w:tc>
          <w:tcPr>
            <w:tcW w:w="580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3</w:t>
            </w:r>
          </w:p>
        </w:tc>
        <w:tc>
          <w:tcPr>
            <w:tcW w:w="581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3</w:t>
            </w:r>
          </w:p>
        </w:tc>
        <w:tc>
          <w:tcPr>
            <w:tcW w:w="581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2</w:t>
            </w:r>
          </w:p>
        </w:tc>
        <w:tc>
          <w:tcPr>
            <w:tcW w:w="581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2</w:t>
            </w:r>
          </w:p>
        </w:tc>
        <w:tc>
          <w:tcPr>
            <w:tcW w:w="581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2</w:t>
            </w:r>
          </w:p>
        </w:tc>
        <w:tc>
          <w:tcPr>
            <w:tcW w:w="581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2</w:t>
            </w:r>
          </w:p>
        </w:tc>
        <w:tc>
          <w:tcPr>
            <w:tcW w:w="581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2</w:t>
            </w:r>
          </w:p>
        </w:tc>
        <w:tc>
          <w:tcPr>
            <w:tcW w:w="581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2</w:t>
            </w:r>
          </w:p>
        </w:tc>
        <w:tc>
          <w:tcPr>
            <w:tcW w:w="581" w:type="dxa"/>
          </w:tcPr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</w:p>
          <w:p>
            <w:pPr>
              <w:widowControl/>
              <w:ind w:firstLine="0" w:firstLineChars="0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36</w:t>
            </w:r>
          </w:p>
        </w:tc>
      </w:tr>
    </w:tbl>
    <w:p>
      <w:pPr>
        <w:widowControl/>
        <w:ind w:firstLine="720"/>
        <w:jc w:val="left"/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</w:rPr>
        <w:t xml:space="preserve">四、课题申报流程 </w:t>
      </w:r>
    </w:p>
    <w:p>
      <w:pPr>
        <w:widowControl/>
        <w:ind w:firstLine="622"/>
        <w:jc w:val="left"/>
      </w:pPr>
      <w:r>
        <w:rPr>
          <w:rFonts w:ascii="楷体_GB2312" w:hAnsi="宋体" w:eastAsia="楷体_GB2312" w:cs="楷体_GB2312"/>
          <w:b/>
          <w:color w:val="000000"/>
          <w:kern w:val="0"/>
          <w:sz w:val="31"/>
          <w:szCs w:val="31"/>
        </w:rPr>
        <w:t>（一）填写申报材料</w:t>
      </w:r>
    </w:p>
    <w:p>
      <w:pPr>
        <w:widowControl/>
        <w:ind w:firstLine="620"/>
        <w:jc w:val="left"/>
        <w:rPr>
          <w:rFonts w:ascii="仿宋_GB2312" w:hAnsi="宋体" w:cs="仿宋_GB2312"/>
          <w:color w:val="000000"/>
          <w:kern w:val="0"/>
          <w:sz w:val="31"/>
          <w:szCs w:val="31"/>
        </w:rPr>
      </w:pP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符合申报资格的课题主持人填写立项申请书（详见附件 1），向所在单位提出申请。机关及教辅单位兼职教师若申报与专业相关的课题，须通过院部申报。</w:t>
      </w:r>
    </w:p>
    <w:p>
      <w:pPr>
        <w:widowControl/>
        <w:ind w:firstLine="622"/>
        <w:jc w:val="left"/>
      </w:pPr>
      <w:r>
        <w:rPr>
          <w:rFonts w:hint="eastAsia" w:ascii="楷体_GB2312" w:hAnsi="宋体" w:eastAsia="楷体_GB2312" w:cs="楷体_GB2312"/>
          <w:b/>
          <w:color w:val="000000"/>
          <w:kern w:val="0"/>
          <w:sz w:val="31"/>
          <w:szCs w:val="31"/>
        </w:rPr>
        <w:t>（二）所在单位初审</w:t>
      </w:r>
    </w:p>
    <w:p>
      <w:pPr>
        <w:widowControl/>
        <w:ind w:firstLine="620"/>
        <w:jc w:val="left"/>
      </w:pP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各单位组织专家参照《黑龙江八一农垦大学教学研究课题立项评审指标体系》（详见附件 2），对本单位申报课题进行初审，按照限额确定推荐申报课题。课题评审中须坚持向普通一线教师倾斜的原则</w:t>
      </w:r>
      <w:r>
        <w:rPr>
          <w:rFonts w:hint="eastAsia" w:ascii="仿宋_GB2312" w:hAnsi="宋体" w:cs="仿宋_GB2312"/>
          <w:b/>
          <w:color w:val="000000"/>
          <w:kern w:val="0"/>
          <w:sz w:val="31"/>
          <w:szCs w:val="31"/>
        </w:rPr>
        <w:t>，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同等条件下，优先普通一线教师。</w:t>
      </w:r>
    </w:p>
    <w:p>
      <w:pPr>
        <w:widowControl/>
        <w:ind w:firstLine="622"/>
        <w:jc w:val="left"/>
      </w:pPr>
      <w:r>
        <w:rPr>
          <w:rFonts w:hint="eastAsia" w:ascii="楷体_GB2312" w:hAnsi="宋体" w:eastAsia="楷体_GB2312" w:cs="楷体_GB2312"/>
          <w:b/>
          <w:color w:val="000000"/>
          <w:kern w:val="0"/>
          <w:sz w:val="31"/>
          <w:szCs w:val="31"/>
        </w:rPr>
        <w:t>（三）单位内部公示</w:t>
      </w:r>
    </w:p>
    <w:p>
      <w:pPr>
        <w:widowControl/>
        <w:ind w:firstLine="620"/>
        <w:jc w:val="left"/>
      </w:pP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各单位须在本单位内部将推荐申报课题进行公示，公示内容包括课题名称、课题主持人及参加人等信息，公示期为 3 天。</w:t>
      </w:r>
    </w:p>
    <w:p>
      <w:pPr>
        <w:widowControl/>
        <w:ind w:firstLine="622"/>
        <w:jc w:val="left"/>
      </w:pPr>
      <w:r>
        <w:rPr>
          <w:rFonts w:hint="eastAsia" w:ascii="楷体_GB2312" w:hAnsi="宋体" w:eastAsia="楷体_GB2312" w:cs="楷体_GB2312"/>
          <w:b/>
          <w:color w:val="000000"/>
          <w:kern w:val="0"/>
          <w:sz w:val="31"/>
          <w:szCs w:val="31"/>
        </w:rPr>
        <w:t>（四）学校组织评审</w:t>
      </w:r>
    </w:p>
    <w:p>
      <w:pPr>
        <w:widowControl/>
        <w:ind w:firstLine="620"/>
        <w:jc w:val="left"/>
      </w:pP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各单位将推荐课题申报材料报至学校后，学校组织专家进行评审，确定拟立项课题名单。</w:t>
      </w:r>
    </w:p>
    <w:p>
      <w:pPr>
        <w:widowControl/>
        <w:ind w:firstLine="622"/>
        <w:jc w:val="left"/>
      </w:pPr>
      <w:r>
        <w:rPr>
          <w:rFonts w:hint="eastAsia" w:ascii="楷体_GB2312" w:hAnsi="宋体" w:eastAsia="楷体_GB2312" w:cs="楷体_GB2312"/>
          <w:b/>
          <w:color w:val="000000"/>
          <w:kern w:val="0"/>
          <w:sz w:val="31"/>
          <w:szCs w:val="31"/>
        </w:rPr>
        <w:t xml:space="preserve">（五）公示公布名单 </w:t>
      </w:r>
    </w:p>
    <w:p>
      <w:pPr>
        <w:widowControl/>
        <w:ind w:firstLine="620"/>
        <w:jc w:val="left"/>
      </w:pP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将拟立项课题名单在全校范围内进行公示，公示期为 3 天。公示期满无异议后，公布立项课题名单。</w:t>
      </w:r>
    </w:p>
    <w:p>
      <w:pPr>
        <w:widowControl/>
        <w:ind w:firstLine="720"/>
        <w:jc w:val="left"/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</w:rPr>
        <w:t xml:space="preserve">五、申报材料报送 </w:t>
      </w:r>
    </w:p>
    <w:p>
      <w:pPr>
        <w:widowControl/>
        <w:ind w:firstLine="620"/>
        <w:jc w:val="left"/>
        <w:rPr>
          <w:rFonts w:ascii="仿宋_GB2312" w:hAnsi="宋体" w:cs="仿宋_GB2312"/>
          <w:color w:val="000000"/>
          <w:kern w:val="0"/>
          <w:sz w:val="31"/>
          <w:szCs w:val="31"/>
        </w:rPr>
      </w:pP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 xml:space="preserve">请各单位于 </w:t>
      </w:r>
      <w:r>
        <w:rPr>
          <w:rFonts w:hint="eastAsia" w:ascii="黑体" w:hAnsi="宋体" w:eastAsia="黑体" w:cs="黑体"/>
          <w:color w:val="000000"/>
          <w:kern w:val="0"/>
          <w:sz w:val="31"/>
          <w:szCs w:val="31"/>
        </w:rPr>
        <w:t>2021 年 10 月 15 日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前，将以下纸质材料报送至高教研究科（主楼西侧 829 室）：</w:t>
      </w:r>
    </w:p>
    <w:p>
      <w:pPr>
        <w:widowControl/>
        <w:ind w:firstLine="620"/>
        <w:jc w:val="left"/>
      </w:pP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（一）立项申请书（一式三份）；</w:t>
      </w:r>
    </w:p>
    <w:p>
      <w:pPr>
        <w:widowControl/>
        <w:ind w:firstLine="620"/>
        <w:jc w:val="left"/>
        <w:rPr>
          <w:rFonts w:ascii="仿宋_GB2312" w:hAnsi="宋体" w:cs="仿宋_GB2312"/>
          <w:color w:val="000000"/>
          <w:kern w:val="0"/>
          <w:sz w:val="31"/>
          <w:szCs w:val="31"/>
        </w:rPr>
      </w:pP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（二）经单位负责人签字，加盖单位公章后的公示原件和课题申报汇总表（详见附件 3）各一式一份。同时，所有材料电子稿发送至邮箱：byndjyk2006@163.com。联系人：王心语，电话：6819808。</w:t>
      </w:r>
    </w:p>
    <w:p>
      <w:pPr>
        <w:widowControl/>
        <w:ind w:firstLine="622"/>
        <w:jc w:val="left"/>
        <w:rPr>
          <w:rFonts w:ascii="仿宋_GB2312" w:hAnsi="宋体" w:cs="仿宋_GB2312"/>
          <w:b/>
          <w:color w:val="000000"/>
          <w:kern w:val="0"/>
          <w:sz w:val="31"/>
          <w:szCs w:val="31"/>
        </w:rPr>
      </w:pPr>
    </w:p>
    <w:p>
      <w:pPr>
        <w:widowControl/>
        <w:ind w:firstLine="622"/>
        <w:jc w:val="left"/>
      </w:pPr>
      <w:r>
        <w:rPr>
          <w:rFonts w:hint="eastAsia" w:ascii="仿宋_GB2312" w:hAnsi="宋体" w:cs="仿宋_GB2312"/>
          <w:b/>
          <w:color w:val="000000"/>
          <w:kern w:val="0"/>
          <w:sz w:val="31"/>
          <w:szCs w:val="31"/>
        </w:rPr>
        <w:t>附件：</w:t>
      </w:r>
    </w:p>
    <w:p>
      <w:pPr>
        <w:widowControl/>
        <w:ind w:firstLine="620"/>
        <w:jc w:val="left"/>
        <w:rPr>
          <w:rFonts w:ascii="仿宋_GB2312" w:hAnsi="宋体" w:cs="仿宋_GB2312"/>
          <w:color w:val="000000"/>
          <w:kern w:val="0"/>
          <w:sz w:val="31"/>
          <w:szCs w:val="31"/>
        </w:rPr>
      </w:pP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1. 黑龙江八一农垦大学教学研究课题立项申请书</w:t>
      </w:r>
    </w:p>
    <w:p>
      <w:pPr>
        <w:widowControl/>
        <w:ind w:firstLine="620"/>
        <w:jc w:val="left"/>
      </w:pP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2. 黑龙江八一农垦大学教学研究课题立项评审指标体系</w:t>
      </w:r>
    </w:p>
    <w:p>
      <w:pPr>
        <w:widowControl/>
        <w:ind w:firstLine="620"/>
        <w:jc w:val="left"/>
        <w:rPr>
          <w:rFonts w:ascii="仿宋_GB2312" w:hAnsi="宋体" w:cs="仿宋_GB2312"/>
          <w:color w:val="000000"/>
          <w:kern w:val="0"/>
          <w:sz w:val="31"/>
          <w:szCs w:val="31"/>
        </w:rPr>
      </w:pP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3. 2021 年校教学研究课题申报汇总表</w:t>
      </w:r>
    </w:p>
    <w:p>
      <w:pPr>
        <w:pStyle w:val="2"/>
        <w:ind w:firstLine="622"/>
        <w:rPr>
          <w:rFonts w:ascii="仿宋_GB2312" w:hAnsi="宋体" w:cs="仿宋_GB2312"/>
          <w:color w:val="000000"/>
          <w:kern w:val="0"/>
          <w:sz w:val="31"/>
          <w:szCs w:val="31"/>
        </w:rPr>
      </w:pPr>
    </w:p>
    <w:p>
      <w:pPr>
        <w:pStyle w:val="2"/>
        <w:ind w:firstLine="622"/>
        <w:rPr>
          <w:rFonts w:ascii="仿宋_GB2312" w:hAnsi="宋体" w:cs="仿宋_GB2312"/>
          <w:color w:val="000000"/>
          <w:kern w:val="0"/>
          <w:sz w:val="31"/>
          <w:szCs w:val="31"/>
        </w:rPr>
      </w:pPr>
    </w:p>
    <w:p>
      <w:pPr>
        <w:pStyle w:val="2"/>
        <w:ind w:firstLine="0" w:firstLineChars="0"/>
        <w:jc w:val="both"/>
        <w:rPr>
          <w:rFonts w:ascii="仿宋_GB2312" w:hAnsi="宋体" w:cs="仿宋_GB2312"/>
          <w:color w:val="000000"/>
          <w:kern w:val="0"/>
          <w:sz w:val="31"/>
          <w:szCs w:val="31"/>
        </w:rPr>
      </w:pPr>
    </w:p>
    <w:p>
      <w:pPr>
        <w:widowControl/>
        <w:ind w:firstLine="620"/>
        <w:jc w:val="right"/>
      </w:pP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 xml:space="preserve">高教研究与教学质量评估中心 </w:t>
      </w:r>
    </w:p>
    <w:p>
      <w:pPr>
        <w:widowControl/>
        <w:ind w:firstLine="620"/>
        <w:jc w:val="right"/>
      </w:pP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2021 年 9 月 1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  <w:lang w:val="en-US" w:eastAsia="zh-CN"/>
        </w:rPr>
        <w:t>5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 xml:space="preserve"> 日</w:t>
      </w: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1"/>
      </w:pBdr>
      <w:ind w:left="0" w:leftChars="0" w:firstLine="0" w:firstLineChars="0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471D6"/>
    <w:rsid w:val="003471D6"/>
    <w:rsid w:val="005C2DCB"/>
    <w:rsid w:val="00771DE1"/>
    <w:rsid w:val="00806D81"/>
    <w:rsid w:val="00CC73B2"/>
    <w:rsid w:val="00EF77B3"/>
    <w:rsid w:val="00FD0856"/>
    <w:rsid w:val="012C65B5"/>
    <w:rsid w:val="01FE10B4"/>
    <w:rsid w:val="02F57DEE"/>
    <w:rsid w:val="030A4AB1"/>
    <w:rsid w:val="0360527C"/>
    <w:rsid w:val="039C61CF"/>
    <w:rsid w:val="03F03425"/>
    <w:rsid w:val="05252FF7"/>
    <w:rsid w:val="05781761"/>
    <w:rsid w:val="0ACC38C2"/>
    <w:rsid w:val="0EF87F53"/>
    <w:rsid w:val="105E1F77"/>
    <w:rsid w:val="1143387C"/>
    <w:rsid w:val="12305A15"/>
    <w:rsid w:val="14912DA4"/>
    <w:rsid w:val="14E2701A"/>
    <w:rsid w:val="1ACC0B10"/>
    <w:rsid w:val="1D361481"/>
    <w:rsid w:val="1EC5020B"/>
    <w:rsid w:val="1F1B0FC4"/>
    <w:rsid w:val="208D122F"/>
    <w:rsid w:val="20BB61C2"/>
    <w:rsid w:val="221A5B64"/>
    <w:rsid w:val="22D44A31"/>
    <w:rsid w:val="25B36693"/>
    <w:rsid w:val="25D915FB"/>
    <w:rsid w:val="278741F4"/>
    <w:rsid w:val="281A6EFB"/>
    <w:rsid w:val="2AC34D9D"/>
    <w:rsid w:val="2B5D6ED7"/>
    <w:rsid w:val="2B9E3D61"/>
    <w:rsid w:val="2F150123"/>
    <w:rsid w:val="31C50AF0"/>
    <w:rsid w:val="327518ED"/>
    <w:rsid w:val="35F060C2"/>
    <w:rsid w:val="378B1E81"/>
    <w:rsid w:val="38331AB6"/>
    <w:rsid w:val="396F6F28"/>
    <w:rsid w:val="3B130CBE"/>
    <w:rsid w:val="3B2626ED"/>
    <w:rsid w:val="3B2A66A4"/>
    <w:rsid w:val="3DEE62DD"/>
    <w:rsid w:val="409A5521"/>
    <w:rsid w:val="42E26134"/>
    <w:rsid w:val="43380820"/>
    <w:rsid w:val="434A3EFC"/>
    <w:rsid w:val="44A0455D"/>
    <w:rsid w:val="44A4189C"/>
    <w:rsid w:val="44B82AB8"/>
    <w:rsid w:val="451C33A2"/>
    <w:rsid w:val="46BD3999"/>
    <w:rsid w:val="46E75E7A"/>
    <w:rsid w:val="48787267"/>
    <w:rsid w:val="491D5C8E"/>
    <w:rsid w:val="4B110F92"/>
    <w:rsid w:val="4BAE3375"/>
    <w:rsid w:val="4BD63314"/>
    <w:rsid w:val="4D0A3935"/>
    <w:rsid w:val="4D542317"/>
    <w:rsid w:val="4E9273AD"/>
    <w:rsid w:val="4FBE7676"/>
    <w:rsid w:val="501E47B3"/>
    <w:rsid w:val="518863E1"/>
    <w:rsid w:val="52E64CBE"/>
    <w:rsid w:val="542526AB"/>
    <w:rsid w:val="55D26ECE"/>
    <w:rsid w:val="567A0EB0"/>
    <w:rsid w:val="582858FD"/>
    <w:rsid w:val="5A982D2F"/>
    <w:rsid w:val="5B9A4E67"/>
    <w:rsid w:val="5BC0318D"/>
    <w:rsid w:val="5BF95AE2"/>
    <w:rsid w:val="5D3577EF"/>
    <w:rsid w:val="5F4748C8"/>
    <w:rsid w:val="5FF21D7C"/>
    <w:rsid w:val="60552FD5"/>
    <w:rsid w:val="60E82D44"/>
    <w:rsid w:val="65E275D6"/>
    <w:rsid w:val="66FA7A0E"/>
    <w:rsid w:val="675B738C"/>
    <w:rsid w:val="67742615"/>
    <w:rsid w:val="682F33A2"/>
    <w:rsid w:val="684F31AC"/>
    <w:rsid w:val="6A3721A2"/>
    <w:rsid w:val="6A824870"/>
    <w:rsid w:val="6AC76A88"/>
    <w:rsid w:val="6BAE5DE5"/>
    <w:rsid w:val="6C683305"/>
    <w:rsid w:val="6C8C25C4"/>
    <w:rsid w:val="6D99272D"/>
    <w:rsid w:val="6DB71195"/>
    <w:rsid w:val="70C118D1"/>
    <w:rsid w:val="71895452"/>
    <w:rsid w:val="71F30E29"/>
    <w:rsid w:val="73762C07"/>
    <w:rsid w:val="774F78BF"/>
    <w:rsid w:val="77641290"/>
    <w:rsid w:val="78216854"/>
    <w:rsid w:val="78D06A29"/>
    <w:rsid w:val="79C542BB"/>
    <w:rsid w:val="7B2D7900"/>
    <w:rsid w:val="7B4D7E28"/>
    <w:rsid w:val="7C7178D4"/>
    <w:rsid w:val="7F11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20" w:lineRule="exact"/>
      <w:ind w:firstLine="640" w:firstLineChars="200"/>
      <w:jc w:val="both"/>
    </w:pPr>
    <w:rPr>
      <w:rFonts w:ascii="Calibri" w:hAnsi="Calibri" w:eastAsia="仿宋_GB2312" w:cs="Times New Roman"/>
      <w:kern w:val="2"/>
      <w:sz w:val="32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0"/>
    <w:pPr>
      <w:keepNext/>
      <w:keepLines/>
      <w:spacing w:beforeLines="50" w:afterLines="50" w:line="240" w:lineRule="auto"/>
      <w:jc w:val="center"/>
      <w:outlineLvl w:val="0"/>
    </w:pPr>
    <w:rPr>
      <w:rFonts w:eastAsia="黑体"/>
      <w:b/>
      <w:kern w:val="44"/>
      <w:sz w:val="44"/>
      <w:szCs w:val="22"/>
    </w:rPr>
  </w:style>
  <w:style w:type="paragraph" w:styleId="4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Lines="50" w:afterLines="50"/>
      <w:jc w:val="center"/>
      <w:outlineLvl w:val="1"/>
    </w:pPr>
    <w:rPr>
      <w:rFonts w:ascii="Arial" w:hAnsi="Arial" w:eastAsia="黑体"/>
      <w:bCs/>
      <w:kern w:val="0"/>
      <w:szCs w:val="32"/>
    </w:rPr>
  </w:style>
  <w:style w:type="paragraph" w:styleId="5">
    <w:name w:val="heading 3"/>
    <w:basedOn w:val="1"/>
    <w:next w:val="1"/>
    <w:link w:val="15"/>
    <w:semiHidden/>
    <w:unhideWhenUsed/>
    <w:qFormat/>
    <w:uiPriority w:val="0"/>
    <w:pPr>
      <w:widowControl/>
      <w:spacing w:beforeLines="50" w:afterLines="50"/>
      <w:jc w:val="center"/>
      <w:outlineLvl w:val="2"/>
    </w:pPr>
    <w:rPr>
      <w:rFonts w:ascii="宋体" w:hAnsi="宋体" w:eastAsia="楷体_GB2312"/>
      <w:b/>
      <w:bCs/>
      <w:kern w:val="0"/>
      <w:szCs w:val="27"/>
    </w:rPr>
  </w:style>
  <w:style w:type="paragraph" w:styleId="6">
    <w:name w:val="heading 4"/>
    <w:basedOn w:val="1"/>
    <w:next w:val="1"/>
    <w:link w:val="14"/>
    <w:semiHidden/>
    <w:unhideWhenUsed/>
    <w:qFormat/>
    <w:uiPriority w:val="0"/>
    <w:pPr>
      <w:keepNext/>
      <w:keepLines/>
      <w:jc w:val="left"/>
      <w:outlineLvl w:val="3"/>
    </w:pPr>
    <w:rPr>
      <w:rFonts w:ascii="Arial" w:hAnsi="Arial"/>
      <w:b/>
      <w:bCs/>
      <w:szCs w:val="28"/>
    </w:rPr>
  </w:style>
  <w:style w:type="paragraph" w:styleId="7">
    <w:name w:val="heading 5"/>
    <w:basedOn w:val="1"/>
    <w:next w:val="1"/>
    <w:link w:val="17"/>
    <w:semiHidden/>
    <w:unhideWhenUsed/>
    <w:qFormat/>
    <w:uiPriority w:val="0"/>
    <w:pPr>
      <w:keepNext/>
      <w:keepLines/>
      <w:ind w:firstLine="0" w:firstLineChars="0"/>
      <w:jc w:val="left"/>
      <w:outlineLvl w:val="4"/>
    </w:pPr>
    <w:rPr>
      <w:rFonts w:eastAsia="仿宋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jc w:val="center"/>
      <w:outlineLvl w:val="0"/>
    </w:pPr>
    <w:rPr>
      <w:rFonts w:ascii="Arial" w:hAnsi="Arial"/>
      <w:b/>
    </w:rPr>
  </w:style>
  <w:style w:type="paragraph" w:styleId="8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9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标题 1 Char"/>
    <w:link w:val="3"/>
    <w:qFormat/>
    <w:uiPriority w:val="0"/>
    <w:rPr>
      <w:rFonts w:ascii="Times New Roman" w:hAnsi="Times New Roman" w:eastAsia="黑体"/>
      <w:b/>
      <w:bCs/>
      <w:kern w:val="44"/>
      <w:sz w:val="44"/>
      <w:szCs w:val="22"/>
    </w:rPr>
  </w:style>
  <w:style w:type="character" w:customStyle="1" w:styleId="14">
    <w:name w:val="标题 4 Char"/>
    <w:link w:val="6"/>
    <w:qFormat/>
    <w:uiPriority w:val="0"/>
    <w:rPr>
      <w:rFonts w:ascii="Arial" w:hAnsi="Arial" w:eastAsia="仿宋_GB2312"/>
      <w:b/>
      <w:bCs/>
      <w:kern w:val="2"/>
      <w:sz w:val="32"/>
      <w:szCs w:val="28"/>
    </w:rPr>
  </w:style>
  <w:style w:type="character" w:customStyle="1" w:styleId="15">
    <w:name w:val="标题 3 Char"/>
    <w:link w:val="5"/>
    <w:qFormat/>
    <w:uiPriority w:val="0"/>
    <w:rPr>
      <w:rFonts w:ascii="宋体" w:hAnsi="宋体" w:eastAsia="楷体_GB2312" w:cs="宋体"/>
      <w:b/>
      <w:bCs/>
      <w:sz w:val="32"/>
      <w:szCs w:val="27"/>
    </w:rPr>
  </w:style>
  <w:style w:type="character" w:customStyle="1" w:styleId="16">
    <w:name w:val="标题 2 Char"/>
    <w:link w:val="4"/>
    <w:qFormat/>
    <w:uiPriority w:val="0"/>
    <w:rPr>
      <w:rFonts w:ascii="Arial" w:hAnsi="Arial" w:eastAsia="黑体" w:cs="Times New Roman"/>
      <w:bCs/>
      <w:sz w:val="32"/>
      <w:szCs w:val="32"/>
    </w:rPr>
  </w:style>
  <w:style w:type="character" w:customStyle="1" w:styleId="17">
    <w:name w:val="标题 5 Char"/>
    <w:link w:val="7"/>
    <w:qFormat/>
    <w:uiPriority w:val="0"/>
    <w:rPr>
      <w:rFonts w:eastAsia="仿宋"/>
      <w:sz w:val="32"/>
    </w:rPr>
  </w:style>
  <w:style w:type="character" w:customStyle="1" w:styleId="18">
    <w:name w:val="页眉 Char"/>
    <w:basedOn w:val="12"/>
    <w:link w:val="9"/>
    <w:qFormat/>
    <w:uiPriority w:val="0"/>
    <w:rPr>
      <w:rFonts w:ascii="Calibri" w:hAnsi="Calibri" w:eastAsia="仿宋_GB2312"/>
      <w:kern w:val="2"/>
      <w:sz w:val="18"/>
      <w:szCs w:val="18"/>
    </w:rPr>
  </w:style>
  <w:style w:type="character" w:customStyle="1" w:styleId="19">
    <w:name w:val="页脚 Char"/>
    <w:basedOn w:val="12"/>
    <w:link w:val="8"/>
    <w:qFormat/>
    <w:uiPriority w:val="0"/>
    <w:rPr>
      <w:rFonts w:ascii="Calibri" w:hAnsi="Calibri"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204</Words>
  <Characters>1168</Characters>
  <Lines>9</Lines>
  <Paragraphs>2</Paragraphs>
  <TotalTime>10</TotalTime>
  <ScaleCrop>false</ScaleCrop>
  <LinksUpToDate>false</LinksUpToDate>
  <CharactersWithSpaces>1370</CharactersWithSpaces>
  <Application>WPS Office_11.1.0.10026_F1E327BC-269C-435d-A152-05C5408002CA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2021-09-15T03:30:00Z</dcterms:created>
  <dc:creator>GUO</dc:creator>
  <cp:lastModifiedBy>GUO</cp:lastModifiedBy>
  <dcterms:modified xsi:type="dcterms:W3CDTF">2021-09-15T07:05:06Z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2052-11.1.0.10026</vt:lpwstr>
  </property>
</Properties>
</file>